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auto"/>
          <w:kern w:val="0"/>
          <w:sz w:val="44"/>
          <w:szCs w:val="44"/>
          <w:highlight w:val="none"/>
          <w14:shadow w14:blurRad="38100" w14:dist="19050" w14:dir="2700000" w14:sx="100000" w14:sy="100000" w14:kx="0" w14:ky="0" w14:algn="tl">
            <w14:schemeClr w14:val="dk1">
              <w14:alpha w14:val="60000"/>
            </w14:schemeClr>
          </w14:shadow>
          <w14:props3d w14:extrusionH="0" w14:contourW="0" w14:prstMaterial="clear"/>
        </w:rPr>
      </w:pPr>
      <w:r>
        <w:rPr>
          <w:rFonts w:hint="eastAsia" w:ascii="楷体_GB2312" w:hAnsi="楷体_GB2312" w:eastAsia="楷体_GB2312" w:cs="楷体_GB2312"/>
          <w:color w:val="auto"/>
          <w:kern w:val="0"/>
          <w:sz w:val="44"/>
          <w:szCs w:val="44"/>
          <w:highlight w:val="none"/>
          <w:lang w:eastAsia="zh-CN"/>
          <w14:shadow w14:blurRad="38100" w14:dist="19050" w14:dir="2700000" w14:sx="100000" w14:sy="100000" w14:kx="0" w14:ky="0" w14:algn="tl">
            <w14:schemeClr w14:val="dk1">
              <w14:alpha w14:val="60000"/>
            </w14:schemeClr>
          </w14:shadow>
          <w14:props3d w14:extrusionH="0" w14:contourW="0" w14:prstMaterial="clear"/>
        </w:rPr>
        <w:t>香河县工业和信息化局</w:t>
      </w:r>
    </w:p>
    <w:p>
      <w:pPr>
        <w:snapToGrid w:val="0"/>
        <w:jc w:val="center"/>
        <w:rPr>
          <w:rFonts w:ascii="黑体" w:hAnsi="黑体" w:eastAsia="黑体" w:cs="黑体"/>
          <w:sz w:val="56"/>
          <w:szCs w:val="72"/>
        </w:rPr>
        <w:sectPr>
          <w:headerReference r:id="rId7" w:type="first"/>
          <w:footerReference r:id="rId9" w:type="first"/>
          <w:headerReference r:id="rId6" w:type="default"/>
          <w:footerReference r:id="rId8"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1" w:type="first"/>
          <w:footerReference r:id="rId13" w:type="first"/>
          <w:headerReference r:id="rId10" w:type="default"/>
          <w:footerReference r:id="rId12"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848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9"/>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00" w:lineRule="exact"/>
        <w:ind w:firstLine="560" w:firstLineChars="200"/>
        <w:jc w:val="left"/>
        <w:rPr>
          <w:rFonts w:eastAsia="方正仿宋_GBK"/>
          <w:sz w:val="28"/>
        </w:rPr>
      </w:pPr>
      <w:r>
        <w:rPr>
          <w:rFonts w:hint="eastAsia" w:eastAsia="方正仿宋_GBK"/>
          <w:sz w:val="28"/>
        </w:rPr>
        <w:t>根据《县工业和信息化局职能配置、内设机构和人员编制规定》， 县工业和信息化局的主要职责是：</w:t>
      </w:r>
    </w:p>
    <w:p>
      <w:pPr>
        <w:spacing w:line="500" w:lineRule="exact"/>
        <w:ind w:firstLine="560" w:firstLineChars="200"/>
        <w:jc w:val="left"/>
        <w:rPr>
          <w:rFonts w:eastAsia="方正仿宋_GBK"/>
          <w:sz w:val="28"/>
        </w:rPr>
      </w:pPr>
      <w:r>
        <w:rPr>
          <w:rFonts w:eastAsia="方正仿宋_GBK"/>
          <w:sz w:val="28"/>
        </w:rPr>
        <w:t>（一）提出全县新型工业化发展战略和政策，协调解决新型工业化进程中的重大问题，拟订并组织实施全县工业的发展规划，推进产业结构战略性调整和优化升级，推进信息化和工业化融合；拟定全县科技促进经济与社会发展的宏观战略，负责地方有关科技规范性文件的制定和建议；贯</w:t>
      </w:r>
      <w:r>
        <w:rPr>
          <w:rFonts w:hint="eastAsia" w:eastAsia="方正仿宋_GBK"/>
          <w:sz w:val="28"/>
        </w:rPr>
        <w:t>彻</w:t>
      </w:r>
      <w:r>
        <w:rPr>
          <w:rFonts w:eastAsia="方正仿宋_GBK"/>
          <w:sz w:val="28"/>
        </w:rPr>
        <w:t>落实创新驱动发展战略方针，拟定科技发展、引进国外智力规划和政策并组织实施。</w:t>
      </w:r>
    </w:p>
    <w:p>
      <w:pPr>
        <w:spacing w:line="500" w:lineRule="exact"/>
        <w:ind w:firstLine="560" w:firstLineChars="200"/>
        <w:jc w:val="left"/>
        <w:rPr>
          <w:rFonts w:eastAsia="方正仿宋_GBK"/>
          <w:sz w:val="28"/>
        </w:rPr>
      </w:pPr>
      <w:r>
        <w:rPr>
          <w:rFonts w:eastAsia="方正仿宋_GBK"/>
          <w:sz w:val="28"/>
        </w:rPr>
        <w:t>（二）制订并组织实施全县工业行业规划、计划和产业政策，提出优化产业布局、结构的政策建议，推进现代产业体系建设，组织实施行业技术规范和标准，指导行业质量管理工作。</w:t>
      </w:r>
    </w:p>
    <w:p>
      <w:pPr>
        <w:spacing w:line="500" w:lineRule="exact"/>
        <w:ind w:firstLine="560" w:firstLineChars="200"/>
        <w:jc w:val="left"/>
        <w:rPr>
          <w:rFonts w:eastAsia="方正仿宋_GBK"/>
          <w:sz w:val="28"/>
        </w:rPr>
      </w:pPr>
      <w:r>
        <w:rPr>
          <w:rFonts w:eastAsia="方正仿宋_GBK"/>
          <w:sz w:val="28"/>
        </w:rPr>
        <w:t>（三）监测、分析全县工业运行态势，统计并发布相关信息，进行预测预警和信息引导，协调解决行业运行发展中的有关问</w:t>
      </w:r>
      <w:r>
        <w:rPr>
          <w:rFonts w:hint="eastAsia" w:hAnsi="宋体" w:eastAsia="方正仿宋_GBK" w:cs="宋体"/>
          <w:sz w:val="28"/>
        </w:rPr>
        <w:t>題</w:t>
      </w:r>
      <w:r>
        <w:rPr>
          <w:rFonts w:hint="eastAsia" w:hAnsi="hakuyoxingshu7000" w:eastAsia="方正仿宋_GBK" w:cs="hakuyoxingshu7000"/>
          <w:sz w:val="28"/>
        </w:rPr>
        <w:t>并提出政策建议；负责工业用电监测；负责工业应急管</w:t>
      </w:r>
      <w:r>
        <w:rPr>
          <w:rFonts w:eastAsia="方正仿宋_GBK"/>
          <w:sz w:val="28"/>
        </w:rPr>
        <w:t>理、产业安全有关工作。</w:t>
      </w:r>
    </w:p>
    <w:p>
      <w:pPr>
        <w:spacing w:line="500" w:lineRule="exact"/>
        <w:ind w:firstLine="560" w:firstLineChars="200"/>
        <w:jc w:val="left"/>
        <w:rPr>
          <w:rFonts w:eastAsia="方正仿宋_GBK"/>
          <w:sz w:val="28"/>
        </w:rPr>
      </w:pPr>
      <w:r>
        <w:rPr>
          <w:rFonts w:eastAsia="方正仿宋_GBK"/>
          <w:sz w:val="28"/>
        </w:rPr>
        <w:t>（四）负责提出全县工业固定资产投资规模和方向（含利用外资和境外投资）、国家和省、市、县财政性建设资金安排的意见，按照</w:t>
      </w:r>
      <w:r>
        <w:rPr>
          <w:rFonts w:hint="eastAsia" w:hAnsi="宋体" w:eastAsia="方正仿宋_GBK" w:cs="宋体"/>
          <w:sz w:val="28"/>
        </w:rPr>
        <w:t>规</w:t>
      </w:r>
      <w:r>
        <w:rPr>
          <w:rFonts w:hint="eastAsia" w:hAnsi="hakuyoxingshu7000" w:eastAsia="方正仿宋_GBK" w:cs="hakuyoxingshu7000"/>
          <w:sz w:val="28"/>
        </w:rPr>
        <w:t>定权限审批，核准、备案工业固定资产投资项目</w:t>
      </w:r>
      <w:r>
        <w:rPr>
          <w:rFonts w:eastAsia="方正仿宋_GBK"/>
          <w:sz w:val="28"/>
        </w:rPr>
        <w:t>负责工业企业技术改造投资项目核准、备案工作，并对上述工业固定资产投资项目招标活动实施监督。</w:t>
      </w:r>
    </w:p>
    <w:p>
      <w:pPr>
        <w:spacing w:line="500" w:lineRule="exact"/>
        <w:ind w:firstLine="560" w:firstLineChars="200"/>
        <w:jc w:val="left"/>
        <w:rPr>
          <w:rFonts w:eastAsia="方正仿宋_GBK"/>
          <w:sz w:val="28"/>
        </w:rPr>
      </w:pPr>
      <w:r>
        <w:rPr>
          <w:rFonts w:eastAsia="方正仿宋_GBK"/>
          <w:sz w:val="28"/>
        </w:rPr>
        <w:t>（五）负责对中小企业和民营经济促进工作进行指导、综合协</w:t>
      </w:r>
      <w:r>
        <w:rPr>
          <w:rFonts w:hint="eastAsia" w:eastAsia="方正仿宋_GBK"/>
          <w:sz w:val="28"/>
        </w:rPr>
        <w:t>调</w:t>
      </w:r>
      <w:r>
        <w:rPr>
          <w:rFonts w:eastAsia="方正仿宋_GBK"/>
          <w:sz w:val="28"/>
        </w:rPr>
        <w:t>和监督检查，会同有关部</w:t>
      </w:r>
      <w:r>
        <w:rPr>
          <w:rFonts w:hint="eastAsia" w:eastAsia="方正仿宋_GBK"/>
          <w:sz w:val="28"/>
        </w:rPr>
        <w:t>门</w:t>
      </w:r>
      <w:r>
        <w:rPr>
          <w:rFonts w:eastAsia="方正仿宋_GBK"/>
          <w:sz w:val="28"/>
        </w:rPr>
        <w:t>拟订促进中小企业发展和民营经济发展的相关政策和措施并组织实施，协调解决有关重大问题。</w:t>
      </w:r>
    </w:p>
    <w:p>
      <w:pPr>
        <w:spacing w:line="500" w:lineRule="exact"/>
        <w:ind w:firstLine="560" w:firstLineChars="200"/>
        <w:jc w:val="left"/>
        <w:rPr>
          <w:rFonts w:eastAsia="方正仿宋_GBK"/>
          <w:sz w:val="28"/>
        </w:rPr>
      </w:pPr>
      <w:r>
        <w:rPr>
          <w:rFonts w:eastAsia="方正仿宋_GBK"/>
          <w:sz w:val="28"/>
        </w:rPr>
        <w:t>（六）</w:t>
      </w:r>
      <w:r>
        <w:rPr>
          <w:rFonts w:hint="eastAsia" w:eastAsia="方正仿宋_GBK"/>
          <w:sz w:val="28"/>
        </w:rPr>
        <w:t>贯</w:t>
      </w:r>
      <w:r>
        <w:rPr>
          <w:rFonts w:eastAsia="方正仿宋_GBK"/>
          <w:sz w:val="28"/>
        </w:rPr>
        <w:t>彻国家政策和标准，拟订高技术产业中涉及生物医药、新</w:t>
      </w:r>
      <w:r>
        <w:rPr>
          <w:rFonts w:hint="eastAsia" w:eastAsia="方正仿宋_GBK"/>
          <w:sz w:val="28"/>
        </w:rPr>
        <w:t>材</w:t>
      </w:r>
      <w:r>
        <w:rPr>
          <w:rFonts w:eastAsia="方正仿宋_GBK"/>
          <w:sz w:val="28"/>
        </w:rPr>
        <w:t>料、信息产业等规划并组织实；指导行业技术创新和技术进步，以先进适用技术改造提升传统产业；推进实施有关国家和省、市、县科技重大专项，推进相关科研成果产业化，推动全县软件业、信息服务业和新兴产业发展。</w:t>
      </w:r>
    </w:p>
    <w:p>
      <w:pPr>
        <w:spacing w:line="500" w:lineRule="exact"/>
        <w:ind w:firstLine="560" w:firstLineChars="200"/>
        <w:jc w:val="left"/>
        <w:rPr>
          <w:rFonts w:eastAsia="方正仿宋_GBK"/>
          <w:sz w:val="28"/>
        </w:rPr>
      </w:pPr>
      <w:r>
        <w:rPr>
          <w:rFonts w:eastAsia="方正仿宋_GBK"/>
          <w:sz w:val="28"/>
        </w:rPr>
        <w:t>（七）负责全</w:t>
      </w:r>
      <w:r>
        <w:rPr>
          <w:rFonts w:hint="eastAsia" w:hAnsi="宋体" w:eastAsia="方正仿宋_GBK" w:cs="宋体"/>
          <w:sz w:val="28"/>
        </w:rPr>
        <w:t>县</w:t>
      </w:r>
      <w:r>
        <w:rPr>
          <w:rFonts w:hint="eastAsia" w:hAnsi="hakuyoxingshu7000" w:eastAsia="方正仿宋_GBK" w:cs="hakuyoxingshu7000"/>
          <w:sz w:val="28"/>
        </w:rPr>
        <w:t>振兴装备制造业的组织协调，贯彻执行国家、省、市重大技术装备发展和自主创新规划、政策，依托国家和省、市、县重点工程建设协调有关重大专项的实施，推进重大技术装备国产化，指导</w:t>
      </w:r>
      <w:r>
        <w:rPr>
          <w:rFonts w:eastAsia="方正仿宋_GBK"/>
          <w:sz w:val="28"/>
        </w:rPr>
        <w:t>引进重大技术装备的消化创新。</w:t>
      </w:r>
    </w:p>
    <w:p>
      <w:pPr>
        <w:spacing w:line="500" w:lineRule="exact"/>
        <w:ind w:firstLine="560" w:firstLineChars="200"/>
        <w:jc w:val="left"/>
        <w:rPr>
          <w:rFonts w:eastAsia="方正仿宋_GBK"/>
          <w:sz w:val="28"/>
        </w:rPr>
      </w:pPr>
      <w:r>
        <w:rPr>
          <w:rFonts w:eastAsia="方正仿宋_GBK"/>
          <w:sz w:val="28"/>
        </w:rPr>
        <w:t>（八）拟订并组织实全县工业能源节约和资</w:t>
      </w:r>
      <w:r>
        <w:rPr>
          <w:rFonts w:hint="eastAsia" w:eastAsia="方正仿宋_GBK"/>
          <w:sz w:val="28"/>
        </w:rPr>
        <w:t>源</w:t>
      </w:r>
      <w:r>
        <w:rPr>
          <w:rFonts w:eastAsia="方正仿宋_GBK"/>
          <w:sz w:val="28"/>
        </w:rPr>
        <w:t>综合利用促进政策，参与拟订能源节约和资源综合利用促进规划，组织协调相关重大示范工程和新产品、新技术、新设备、新材料的推广应用。</w:t>
      </w:r>
    </w:p>
    <w:p>
      <w:pPr>
        <w:spacing w:line="500" w:lineRule="exact"/>
        <w:ind w:firstLine="560" w:firstLineChars="200"/>
        <w:jc w:val="left"/>
        <w:rPr>
          <w:rFonts w:eastAsia="方正仿宋_GBK"/>
          <w:sz w:val="28"/>
        </w:rPr>
      </w:pPr>
      <w:r>
        <w:rPr>
          <w:rFonts w:eastAsia="方正仿宋_GBK"/>
          <w:sz w:val="28"/>
        </w:rPr>
        <w:t>（九）推进全县工业体制改革和管理创新，提高行业综合素质和核心竞争力，指导工业行业加强安全生产管理，负责民爆行业生产流通的监督管理和安全生产工作。</w:t>
      </w:r>
    </w:p>
    <w:p>
      <w:pPr>
        <w:spacing w:line="500" w:lineRule="exact"/>
        <w:ind w:firstLine="560" w:firstLineChars="200"/>
        <w:jc w:val="left"/>
        <w:rPr>
          <w:rFonts w:eastAsia="方正仿宋_GBK"/>
          <w:sz w:val="28"/>
        </w:rPr>
      </w:pPr>
      <w:r>
        <w:rPr>
          <w:rFonts w:eastAsia="方正仿宋_GBK"/>
          <w:sz w:val="28"/>
        </w:rPr>
        <w:t>（十）统筹推进全县创新体系建设和科技体制改革，会同有关部门健全技术创新激励机制。优化科研体系建设，指导科研机构改革发展，推动企业科技创新能力建设，承担推进科技军民融合发展相关工作，推进县重大科技决策咨询制度建设。拟定科学普及和科学传播规划、政策。</w:t>
      </w:r>
    </w:p>
    <w:p>
      <w:pPr>
        <w:spacing w:line="500" w:lineRule="exact"/>
        <w:ind w:firstLine="560" w:firstLineChars="200"/>
        <w:jc w:val="left"/>
        <w:rPr>
          <w:rFonts w:eastAsia="方正仿宋_GBK"/>
          <w:sz w:val="28"/>
        </w:rPr>
      </w:pPr>
      <w:r>
        <w:rPr>
          <w:rFonts w:eastAsia="方正仿宋_GBK"/>
          <w:sz w:val="28"/>
        </w:rPr>
        <w:t>（十一）牵头建立县级科技管理平台和科研项目</w:t>
      </w:r>
      <w:r>
        <w:rPr>
          <w:rFonts w:hint="eastAsia" w:hAnsi="宋体" w:eastAsia="方正仿宋_GBK" w:cs="宋体"/>
          <w:sz w:val="28"/>
        </w:rPr>
        <w:t>资</w:t>
      </w:r>
      <w:r>
        <w:rPr>
          <w:rFonts w:hint="eastAsia" w:hAnsi="hakuyoxingshu7000" w:eastAsia="方正仿宋_GBK" w:cs="hakuyoxingshu7000"/>
          <w:sz w:val="28"/>
        </w:rPr>
        <w:t>金协调、评估、监管机制。会同有关部门提出优化配置科技资源的政策措施建议，推动多元化科技投入体系建设，协调管理县级财政科技计划（专项、基金等）并监督实施。</w:t>
      </w:r>
    </w:p>
    <w:p>
      <w:pPr>
        <w:spacing w:line="500" w:lineRule="exact"/>
        <w:ind w:firstLine="560" w:firstLineChars="200"/>
        <w:jc w:val="left"/>
        <w:rPr>
          <w:rFonts w:eastAsia="方正仿宋_GBK"/>
          <w:sz w:val="28"/>
        </w:rPr>
      </w:pPr>
      <w:r>
        <w:rPr>
          <w:rFonts w:eastAsia="方正仿宋_GBK"/>
          <w:sz w:val="28"/>
        </w:rPr>
        <w:t>（十二）拟订重大科技创新基地建设规划并监督实施，推动科研条件保障、科技平台建设和科技资源开放共享。拟订基础研究规划、政策并组织实施，组织协调县重大基础研究和应用基础研究。组织推荐省自然科学基金项目。</w:t>
      </w:r>
    </w:p>
    <w:p>
      <w:pPr>
        <w:spacing w:line="500" w:lineRule="exact"/>
        <w:ind w:firstLine="560" w:firstLineChars="200"/>
        <w:jc w:val="left"/>
        <w:rPr>
          <w:rFonts w:eastAsia="方正仿宋_GBK"/>
          <w:sz w:val="28"/>
        </w:rPr>
      </w:pPr>
      <w:r>
        <w:rPr>
          <w:rFonts w:eastAsia="方正仿宋_GBK"/>
          <w:sz w:val="28"/>
        </w:rPr>
        <w:t>（十三）编制县重大科技项目规划并</w:t>
      </w:r>
      <w:r>
        <w:rPr>
          <w:rFonts w:hint="eastAsia" w:hAnsi="宋体" w:eastAsia="方正仿宋_GBK" w:cs="宋体"/>
          <w:sz w:val="28"/>
        </w:rPr>
        <w:t>監</w:t>
      </w:r>
      <w:r>
        <w:rPr>
          <w:rFonts w:eastAsia="方正仿宋_GBK"/>
          <w:sz w:val="28"/>
        </w:rPr>
        <w:t>督实施，统筹关键共性技术、前沿引领技术、现代工程技术、颠覆性技术研发和创新，牵头组织重大技术攻关和成果应用示范。</w:t>
      </w:r>
    </w:p>
    <w:p>
      <w:pPr>
        <w:spacing w:line="500" w:lineRule="exact"/>
        <w:ind w:firstLine="560" w:firstLineChars="200"/>
        <w:jc w:val="left"/>
        <w:rPr>
          <w:rFonts w:eastAsia="方正仿宋_GBK"/>
          <w:sz w:val="28"/>
        </w:rPr>
      </w:pPr>
      <w:r>
        <w:rPr>
          <w:rFonts w:eastAsia="方正仿宋_GBK"/>
          <w:sz w:val="28"/>
        </w:rPr>
        <w:t>（十四）组织拟订高新技术发展及产业化、科技促进农业农村和社会发展的规划、政策和措施。组织开展重点领域技术发展需求分析，提出重大任务并监督实施。指导域内高新技术产业开发区、农业科技园区等科技园区建设。</w:t>
      </w:r>
    </w:p>
    <w:p>
      <w:pPr>
        <w:spacing w:line="500" w:lineRule="exact"/>
        <w:ind w:firstLine="560" w:firstLineChars="200"/>
        <w:jc w:val="left"/>
        <w:rPr>
          <w:rFonts w:eastAsia="方正仿宋_GBK"/>
          <w:sz w:val="28"/>
        </w:rPr>
      </w:pPr>
      <w:r>
        <w:rPr>
          <w:rFonts w:eastAsia="方正仿宋_GBK"/>
          <w:sz w:val="28"/>
        </w:rPr>
        <w:t>（十五）牵头技术转移体系建设，</w:t>
      </w:r>
      <w:r>
        <w:rPr>
          <w:rFonts w:hint="eastAsia" w:eastAsia="方正仿宋_GBK"/>
          <w:sz w:val="28"/>
        </w:rPr>
        <w:t>拟</w:t>
      </w:r>
      <w:r>
        <w:rPr>
          <w:rFonts w:eastAsia="方正仿宋_GBK"/>
          <w:sz w:val="28"/>
        </w:rPr>
        <w:t>订科技成果转移转化和促进产学</w:t>
      </w:r>
      <w:r>
        <w:rPr>
          <w:rFonts w:hint="eastAsia" w:hAnsi="宋体" w:eastAsia="方正仿宋_GBK" w:cs="宋体"/>
          <w:sz w:val="28"/>
        </w:rPr>
        <w:t>研</w:t>
      </w:r>
      <w:r>
        <w:rPr>
          <w:rFonts w:hint="eastAsia" w:hAnsi="hakuyoxingshu7000" w:eastAsia="方正仿宋_GBK" w:cs="hakuyoxingshu7000"/>
          <w:sz w:val="28"/>
        </w:rPr>
        <w:t>结合的相关政策措施并监督实施。指导科技服务业、技术市场和科技中介组织发展。</w:t>
      </w:r>
    </w:p>
    <w:p>
      <w:pPr>
        <w:spacing w:line="500" w:lineRule="exact"/>
        <w:ind w:firstLine="560" w:firstLineChars="200"/>
        <w:jc w:val="left"/>
        <w:rPr>
          <w:rFonts w:eastAsia="方正仿宋_GBK"/>
          <w:sz w:val="28"/>
        </w:rPr>
      </w:pPr>
      <w:r>
        <w:rPr>
          <w:rFonts w:eastAsia="方正仿宋_GBK"/>
          <w:sz w:val="28"/>
        </w:rPr>
        <w:t>（十六）统筹区域科技创新体系建设，指导区域创新发展科技资源合理布局和协同创新能力建设。</w:t>
      </w:r>
    </w:p>
    <w:p>
      <w:pPr>
        <w:spacing w:line="500" w:lineRule="exact"/>
        <w:ind w:firstLine="560" w:firstLineChars="200"/>
        <w:jc w:val="left"/>
        <w:rPr>
          <w:rFonts w:eastAsia="方正仿宋_GBK"/>
          <w:sz w:val="28"/>
        </w:rPr>
      </w:pPr>
      <w:r>
        <w:rPr>
          <w:rFonts w:eastAsia="方正仿宋_GBK"/>
          <w:sz w:val="28"/>
        </w:rPr>
        <w:t>（十七）负责</w:t>
      </w:r>
      <w:r>
        <w:rPr>
          <w:rFonts w:hint="eastAsia" w:eastAsia="方正仿宋_GBK"/>
          <w:sz w:val="28"/>
        </w:rPr>
        <w:t>科技</w:t>
      </w:r>
      <w:r>
        <w:rPr>
          <w:rFonts w:hint="eastAsia" w:hAnsi="hakuyoxingshu7000" w:eastAsia="方正仿宋_GBK" w:cs="hakuyoxingshu7000"/>
          <w:sz w:val="28"/>
        </w:rPr>
        <w:t>监督评价体系建设和相关科技评估管理指导科技评价机制改革，统筹科研诚信建设。组织实施创新调查和科技报告例度，指导全县科技保密工作。</w:t>
      </w:r>
    </w:p>
    <w:p>
      <w:pPr>
        <w:spacing w:line="500" w:lineRule="exact"/>
        <w:ind w:firstLine="560" w:firstLineChars="200"/>
        <w:jc w:val="left"/>
        <w:rPr>
          <w:rFonts w:eastAsia="方正仿宋_GBK"/>
          <w:sz w:val="28"/>
        </w:rPr>
      </w:pPr>
      <w:r>
        <w:rPr>
          <w:rFonts w:eastAsia="方正仿宋_GBK"/>
          <w:sz w:val="28"/>
        </w:rPr>
        <w:t>（十八）拟订与域外科技合作和创新能力开放合作的规划政策和施，组织开展与域外科技合作交流，指导相关部门（乡镇、园区）对外科技合作交流工作。</w:t>
      </w:r>
    </w:p>
    <w:p>
      <w:pPr>
        <w:spacing w:line="500" w:lineRule="exact"/>
        <w:ind w:firstLine="560" w:firstLineChars="200"/>
        <w:jc w:val="left"/>
        <w:rPr>
          <w:rFonts w:eastAsia="方正仿宋_GBK"/>
          <w:sz w:val="28"/>
        </w:rPr>
      </w:pPr>
      <w:r>
        <w:rPr>
          <w:rFonts w:eastAsia="方正仿宋_GBK"/>
          <w:sz w:val="28"/>
        </w:rPr>
        <w:t>（十九）负责引进国外智力工作。拟订县重点引进外国专家总体规划、计划并组织实施，建立外国商层次人才吸引集聚机制和重点外国专家联系服务机制。拟订出国（境）培训总体规划政策和年度计划并监督实施。</w:t>
      </w:r>
    </w:p>
    <w:p>
      <w:pPr>
        <w:spacing w:line="500" w:lineRule="exact"/>
        <w:ind w:firstLine="560" w:firstLineChars="200"/>
        <w:jc w:val="left"/>
        <w:rPr>
          <w:rFonts w:eastAsia="方正仿宋_GBK"/>
          <w:sz w:val="28"/>
        </w:rPr>
      </w:pPr>
      <w:r>
        <w:rPr>
          <w:rFonts w:eastAsia="方正仿宋_GBK"/>
          <w:sz w:val="28"/>
        </w:rPr>
        <w:t>（二十）会同有关部门拟订科技人才队伍建设规划和政策，建立健全</w:t>
      </w:r>
      <w:r>
        <w:rPr>
          <w:rFonts w:hint="eastAsia" w:eastAsia="方正仿宋_GBK"/>
          <w:sz w:val="28"/>
        </w:rPr>
        <w:t>科技</w:t>
      </w:r>
      <w:r>
        <w:rPr>
          <w:rFonts w:eastAsia="方正仿宋_GBK"/>
          <w:sz w:val="28"/>
        </w:rPr>
        <w:t>人才评价和激励机制，组织实施科技人才计划，推动高端科技创新人才队伍建设。</w:t>
      </w:r>
    </w:p>
    <w:p>
      <w:pPr>
        <w:spacing w:line="500" w:lineRule="exact"/>
        <w:ind w:firstLine="560" w:firstLineChars="200"/>
        <w:jc w:val="left"/>
        <w:rPr>
          <w:rFonts w:eastAsia="方正仿宋_GBK"/>
          <w:sz w:val="28"/>
        </w:rPr>
      </w:pPr>
      <w:r>
        <w:rPr>
          <w:rFonts w:eastAsia="方正仿宋_GBK"/>
          <w:sz w:val="28"/>
        </w:rPr>
        <w:t>（二十一）承担省科学技术奖、燕赵友谊奖的审报组织工作。</w:t>
      </w:r>
    </w:p>
    <w:p>
      <w:pPr>
        <w:spacing w:line="500" w:lineRule="exact"/>
        <w:ind w:firstLine="560" w:firstLineChars="200"/>
        <w:jc w:val="left"/>
        <w:rPr>
          <w:rFonts w:eastAsia="方正仿宋_GBK"/>
          <w:sz w:val="28"/>
        </w:rPr>
      </w:pPr>
      <w:r>
        <w:rPr>
          <w:rFonts w:eastAsia="方正仿宋_GBK"/>
          <w:sz w:val="28"/>
        </w:rPr>
        <w:t>（二十二）负责工业，中小企业、科技的对外合作与交流。</w:t>
      </w:r>
    </w:p>
    <w:p>
      <w:pPr>
        <w:spacing w:line="500" w:lineRule="exact"/>
        <w:ind w:firstLine="560" w:firstLineChars="200"/>
        <w:jc w:val="left"/>
        <w:rPr>
          <w:rFonts w:eastAsia="方正仿宋_GBK"/>
          <w:sz w:val="28"/>
        </w:rPr>
      </w:pPr>
      <w:r>
        <w:rPr>
          <w:rFonts w:eastAsia="方正仿宋_GBK"/>
          <w:sz w:val="28"/>
        </w:rPr>
        <w:t>（二十三）承担履行《禁止化学武器公约》的组织协调工作。</w:t>
      </w:r>
    </w:p>
    <w:p>
      <w:pPr>
        <w:spacing w:line="500" w:lineRule="exact"/>
        <w:ind w:firstLine="560" w:firstLineChars="200"/>
        <w:jc w:val="left"/>
        <w:rPr>
          <w:rFonts w:eastAsia="方正仿宋_GBK"/>
          <w:sz w:val="28"/>
        </w:rPr>
      </w:pPr>
      <w:r>
        <w:rPr>
          <w:rFonts w:eastAsia="方正仿宋_GBK"/>
          <w:sz w:val="28"/>
        </w:rPr>
        <w:t>（二十四）承担盐业行业管理工作。</w:t>
      </w:r>
    </w:p>
    <w:p>
      <w:pPr>
        <w:spacing w:line="500" w:lineRule="exact"/>
        <w:ind w:firstLine="560" w:firstLineChars="200"/>
        <w:jc w:val="left"/>
        <w:rPr>
          <w:rFonts w:eastAsia="方正仿宋_GBK"/>
          <w:sz w:val="28"/>
        </w:rPr>
      </w:pPr>
      <w:r>
        <w:rPr>
          <w:rFonts w:eastAsia="方正仿宋_GBK"/>
          <w:sz w:val="28"/>
        </w:rPr>
        <w:t>（二十五）承办县委、县政府交办的其他事项。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900"/>
        <w:gridCol w:w="241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2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90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1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33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28"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900"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香河县工业和信息化局</w:t>
            </w:r>
            <w:r>
              <w:rPr>
                <w:rFonts w:hint="eastAsia" w:ascii="仿宋_GB2312" w:hAnsi="Calibri" w:eastAsia="仿宋_GB2312" w:cs="ArialUnicodeMS"/>
                <w:kern w:val="0"/>
                <w:sz w:val="28"/>
                <w:szCs w:val="28"/>
              </w:rPr>
              <w:t>(本级)</w:t>
            </w:r>
          </w:p>
        </w:tc>
        <w:tc>
          <w:tcPr>
            <w:tcW w:w="241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337"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28"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900" w:type="dxa"/>
          </w:tcPr>
          <w:p>
            <w:pPr>
              <w:spacing w:line="560" w:lineRule="exact"/>
              <w:rPr>
                <w:rFonts w:ascii="仿宋_GB2312" w:hAnsi="Calibri" w:eastAsia="仿宋_GB2312" w:cs="ArialUnicodeMS"/>
                <w:kern w:val="0"/>
                <w:sz w:val="28"/>
                <w:szCs w:val="28"/>
              </w:rPr>
            </w:pPr>
          </w:p>
        </w:tc>
        <w:tc>
          <w:tcPr>
            <w:tcW w:w="2415" w:type="dxa"/>
          </w:tcPr>
          <w:p>
            <w:pPr>
              <w:spacing w:line="560" w:lineRule="exact"/>
              <w:jc w:val="center"/>
              <w:rPr>
                <w:rFonts w:ascii="仿宋_GB2312" w:hAnsi="Calibri" w:eastAsia="仿宋_GB2312" w:cs="ArialUnicodeMS"/>
                <w:kern w:val="0"/>
                <w:sz w:val="28"/>
                <w:szCs w:val="28"/>
              </w:rPr>
            </w:pPr>
          </w:p>
        </w:tc>
        <w:tc>
          <w:tcPr>
            <w:tcW w:w="2337"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28"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900" w:type="dxa"/>
          </w:tcPr>
          <w:p>
            <w:pPr>
              <w:spacing w:line="560" w:lineRule="exact"/>
              <w:rPr>
                <w:rFonts w:ascii="仿宋_GB2312" w:hAnsi="Calibri" w:eastAsia="仿宋_GB2312" w:cs="ArialUnicodeMS"/>
                <w:kern w:val="0"/>
                <w:sz w:val="28"/>
                <w:szCs w:val="28"/>
              </w:rPr>
            </w:pPr>
          </w:p>
        </w:tc>
        <w:tc>
          <w:tcPr>
            <w:tcW w:w="2415" w:type="dxa"/>
          </w:tcPr>
          <w:p>
            <w:pPr>
              <w:spacing w:line="560" w:lineRule="exact"/>
              <w:jc w:val="center"/>
              <w:rPr>
                <w:rFonts w:ascii="仿宋_GB2312" w:hAnsi="Calibri" w:eastAsia="仿宋_GB2312" w:cs="ArialUnicodeMS"/>
                <w:kern w:val="0"/>
                <w:sz w:val="28"/>
                <w:szCs w:val="28"/>
              </w:rPr>
            </w:pPr>
          </w:p>
        </w:tc>
        <w:tc>
          <w:tcPr>
            <w:tcW w:w="2337"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28"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900"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1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337"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6" w:type="first"/>
          <w:headerReference r:id="rId14" w:type="default"/>
          <w:footerReference r:id="rId15"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7"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950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7052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7052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9"/>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12534.89</w:t>
      </w:r>
      <w:r>
        <w:rPr>
          <w:rFonts w:hint="eastAsia" w:ascii="仿宋_GB2312" w:hAnsi="Times New Roman" w:eastAsia="仿宋_GB2312" w:cs="DengXian-Regular"/>
          <w:sz w:val="32"/>
          <w:szCs w:val="32"/>
        </w:rPr>
        <w:t>万元。与2018年度决算相比，收支各增加</w:t>
      </w:r>
      <w:r>
        <w:rPr>
          <w:rFonts w:hint="eastAsia" w:ascii="仿宋_GB2312" w:hAnsi="Times New Roman" w:eastAsia="仿宋_GB2312" w:cs="DengXian-Regular"/>
          <w:sz w:val="32"/>
          <w:szCs w:val="32"/>
          <w:lang w:val="en-US" w:eastAsia="zh-CN"/>
        </w:rPr>
        <w:t>8630.35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221.03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机构改革，与科学技术局合并。</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12205.24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10886.41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89.19</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1318.83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10.81</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12150.02</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1826.6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15.03</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10323.43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84.97</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10886.41</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7384.39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210.86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机构改革，与科学技术局合并</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10913.06</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7372.6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208.24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机构改革，与科学技术局合并。</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10886.41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168.34</w:t>
      </w:r>
      <w:r>
        <w:rPr>
          <w:rFonts w:hint="eastAsia" w:ascii="仿宋_GB2312" w:hAnsi="Times New Roman" w:eastAsia="仿宋_GB2312" w:cs="DengXian-Regular"/>
          <w:sz w:val="32"/>
          <w:szCs w:val="32"/>
        </w:rPr>
        <w:t>%（如图4）,比年初预算增加</w:t>
      </w:r>
      <w:r>
        <w:rPr>
          <w:rFonts w:hint="eastAsia" w:ascii="仿宋_GB2312" w:hAnsi="Times New Roman" w:eastAsia="仿宋_GB2312" w:cs="DengXian-Regular"/>
          <w:sz w:val="32"/>
          <w:szCs w:val="32"/>
          <w:lang w:val="en-US" w:eastAsia="zh-CN"/>
        </w:rPr>
        <w:t>4419.41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拨付鼎力公司资本金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10879.68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168.23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4412.68</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拨付鼎力公司资本金</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10879.68</w:t>
      </w:r>
      <w:r>
        <w:rPr>
          <w:rFonts w:hint="eastAsia" w:ascii="仿宋_GB2312" w:hAnsi="Times New Roman" w:eastAsia="仿宋_GB2312" w:cs="DengXian-Regular"/>
          <w:sz w:val="32"/>
          <w:szCs w:val="32"/>
        </w:rPr>
        <w:t>万元，主要用于以下方面科学技术（类）支出</w:t>
      </w:r>
      <w:r>
        <w:rPr>
          <w:rFonts w:hint="eastAsia" w:ascii="仿宋_GB2312" w:hAnsi="Times New Roman" w:eastAsia="仿宋_GB2312" w:cs="DengXian-Regular"/>
          <w:sz w:val="32"/>
          <w:szCs w:val="32"/>
          <w:lang w:val="en-US" w:eastAsia="zh-CN"/>
        </w:rPr>
        <w:t>384.94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3.54</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696.19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6.40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28.18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0.26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技能环保</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1.05</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资源勘探信息等</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9704.73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89.20</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49.8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0.46</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灾害防治及应急管理</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14.8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0.13</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1824.25</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1653.81</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住房公积金、其他社会保障缴费、其他工资福利支出、离休费、退休费、抚恤金、生活补助、奖励金、其他对个人和家庭的补助支出；公用经费</w:t>
      </w:r>
      <w:r>
        <w:rPr>
          <w:rFonts w:hint="eastAsia" w:ascii="仿宋_GB2312" w:hAnsi="Times New Roman" w:eastAsia="仿宋_GB2312" w:cs="DengXian-Regular"/>
          <w:sz w:val="32"/>
          <w:szCs w:val="32"/>
          <w:lang w:val="en-US" w:eastAsia="zh-CN"/>
        </w:rPr>
        <w:t>170.44</w:t>
      </w:r>
      <w:r>
        <w:rPr>
          <w:rFonts w:hint="eastAsia" w:ascii="仿宋_GB2312" w:hAnsi="Times New Roman" w:eastAsia="仿宋_GB2312" w:cs="DengXian-Regular"/>
          <w:sz w:val="32"/>
          <w:szCs w:val="32"/>
        </w:rPr>
        <w:t>万元，主要包括办公费、印刷费、邮电费、差旅费、维修（护）费、劳务费、委托业务费、工会经费、福利费、公务用车运行维护费、其他交通费用、其他商品和服务支出。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2.18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37.59</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3.62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62.41</w:t>
      </w:r>
      <w:r>
        <w:rPr>
          <w:rFonts w:hint="eastAsia" w:ascii="仿宋_GB2312" w:hAnsi="Times New Roman" w:eastAsia="仿宋_GB2312" w:cs="DengXian-Regular"/>
          <w:sz w:val="32"/>
          <w:szCs w:val="32"/>
        </w:rPr>
        <w:t>%，主要是</w:t>
      </w:r>
      <w:r>
        <w:rPr>
          <w:rFonts w:hint="eastAsia" w:eastAsia="仿宋_GB2312"/>
          <w:sz w:val="32"/>
          <w:szCs w:val="32"/>
          <w:lang w:val="en-US" w:eastAsia="zh-CN"/>
        </w:rPr>
        <w:t>厉行节约减少支出</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28.91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92.99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减少公务用车购置及</w:t>
      </w:r>
      <w:r>
        <w:rPr>
          <w:rFonts w:hint="eastAsia" w:ascii="仿宋_GB2312" w:eastAsia="仿宋_GB2312" w:cs="DengXian-Regular"/>
          <w:sz w:val="32"/>
          <w:szCs w:val="32"/>
        </w:rPr>
        <w:t>因公出国（境）</w:t>
      </w:r>
      <w:r>
        <w:rPr>
          <w:rFonts w:hint="eastAsia" w:ascii="仿宋_GB2312" w:eastAsia="仿宋_GB2312" w:cs="DengXian-Regular"/>
          <w:sz w:val="32"/>
          <w:szCs w:val="32"/>
          <w:lang w:eastAsia="zh-CN"/>
        </w:rPr>
        <w:t>费支出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4.22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未参加出国培训</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2.18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3.52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61.75</w:t>
      </w:r>
      <w:r>
        <w:rPr>
          <w:rFonts w:hint="eastAsia" w:ascii="仿宋_GB2312" w:hAnsi="Times New Roman" w:eastAsia="仿宋_GB2312" w:cs="DengXian-Regular"/>
          <w:sz w:val="32"/>
          <w:szCs w:val="32"/>
        </w:rPr>
        <w:t>%,主要是</w:t>
      </w:r>
      <w:r>
        <w:rPr>
          <w:rFonts w:hint="eastAsia" w:eastAsia="仿宋_GB2312"/>
          <w:sz w:val="32"/>
          <w:szCs w:val="32"/>
          <w:lang w:val="en-US" w:eastAsia="zh-CN"/>
        </w:rPr>
        <w:t>厉行节约减少支出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24.59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91.86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减少公务用车购置支出</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color w:val="000000"/>
          <w:sz w:val="32"/>
          <w:szCs w:val="32"/>
          <w:highlight w:val="none"/>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23.95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themeColor="text1"/>
          <w:sz w:val="32"/>
          <w:szCs w:val="32"/>
          <w:highlight w:val="none"/>
          <w14:textFill>
            <w14:solidFill>
              <w14:schemeClr w14:val="tx1"/>
            </w14:solidFill>
          </w14:textFill>
        </w:rPr>
        <w:t>未发生“公务用车购置”经费支出</w:t>
      </w:r>
      <w:r>
        <w:rPr>
          <w:rFonts w:hint="eastAsia" w:ascii="仿宋_GB2312" w:hAnsi="Times New Roman" w:eastAsia="仿宋_GB2312" w:cs="DengXian-Regular"/>
          <w:color w:val="000000" w:themeColor="text1"/>
          <w:sz w:val="32"/>
          <w:szCs w:val="32"/>
          <w:highlight w:val="none"/>
          <w:lang w:eastAsia="zh-CN"/>
          <w14:textFill>
            <w14:solidFill>
              <w14:schemeClr w14:val="tx1"/>
            </w14:solidFill>
          </w14:textFill>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3.52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61.75</w:t>
      </w:r>
      <w:r>
        <w:rPr>
          <w:rFonts w:hint="eastAsia" w:ascii="仿宋_GB2312" w:hAnsi="Times New Roman" w:eastAsia="仿宋_GB2312" w:cs="DengXian-Regular"/>
          <w:sz w:val="32"/>
          <w:szCs w:val="32"/>
        </w:rPr>
        <w:t>%,主要是</w:t>
      </w:r>
      <w:r>
        <w:rPr>
          <w:rFonts w:hint="eastAsia" w:eastAsia="仿宋_GB2312"/>
          <w:sz w:val="32"/>
          <w:szCs w:val="32"/>
          <w:lang w:val="en-US" w:eastAsia="zh-CN"/>
        </w:rPr>
        <w:t>厉行节约减少支出</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24.82</w:t>
      </w:r>
      <w:r>
        <w:rPr>
          <w:rFonts w:hint="eastAsia" w:ascii="仿宋_GB2312" w:hAnsi="Times New Roman" w:eastAsia="仿宋_GB2312" w:cs="DengXian-Regular"/>
          <w:sz w:val="32"/>
          <w:szCs w:val="32"/>
        </w:rPr>
        <w:t>%，主要是</w:t>
      </w:r>
      <w:r>
        <w:rPr>
          <w:rFonts w:hint="eastAsia" w:eastAsia="仿宋_GB2312"/>
          <w:sz w:val="32"/>
          <w:szCs w:val="32"/>
          <w:lang w:val="en-US" w:eastAsia="zh-CN"/>
        </w:rPr>
        <w:t>厉行节约减少支出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eastAsia="仿宋_GB2312"/>
          <w:sz w:val="32"/>
          <w:szCs w:val="32"/>
          <w:lang w:val="en-US" w:eastAsia="zh-CN"/>
        </w:rPr>
        <w:t>厉行节约减少支出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eastAsia="仿宋_GB2312"/>
          <w:sz w:val="32"/>
          <w:szCs w:val="32"/>
          <w:lang w:val="en-US" w:eastAsia="zh-CN"/>
        </w:rPr>
        <w:t>厉行节约减少支出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2841.57</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本部门在今年部门决算公开中反映香河智慧城市一期建设信息系统集成实施服务项目及 2018年度香河县优秀民营企业奖励资金项目等</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香河智慧城市一期建设信息系统集成实施服务项目自评综述：根据年初设定的绩效目标，智慧城市一期建设项目绩效自评得分为</w:t>
      </w:r>
      <w:r>
        <w:rPr>
          <w:rFonts w:hint="eastAsia" w:ascii="仿宋_GB2312" w:hAnsi="仿宋_GB2312" w:eastAsia="仿宋_GB2312" w:cs="仿宋_GB2312"/>
          <w:sz w:val="32"/>
          <w:szCs w:val="32"/>
          <w:lang w:val="en-US" w:eastAsia="zh-CN"/>
        </w:rPr>
        <w:t>98.89</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1599.48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1422.5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88.94%</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2018年度香河县优秀民营企业奖励资金项目绩效自评综述：根据年初设定的绩效目标，优秀民营企业奖励资金项目绩效自评得分为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1160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1160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）安全生产第三方服务费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安全生产第三方服务费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99.36</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14.8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93.67%</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公共免费wifi运营和维护费项目绩效自评综述：根据年初设定的绩效目标，公共免费wifi运营和维护费项目绩效自评得分为</w:t>
      </w:r>
      <w:r>
        <w:rPr>
          <w:rFonts w:hint="eastAsia" w:ascii="仿宋_GB2312" w:hAnsi="仿宋_GB2312" w:eastAsia="仿宋_GB2312" w:cs="仿宋_GB2312"/>
          <w:sz w:val="32"/>
          <w:szCs w:val="32"/>
          <w:lang w:val="en-US" w:eastAsia="zh-CN"/>
        </w:rPr>
        <w:t>98.32</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157.14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130.88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83.29%</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）香河县家具产业振兴规划</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eastAsia="zh-CN"/>
        </w:rPr>
        <w:t>家具产业振兴规划</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94.94</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47.43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49.41%</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）民营经济培训费</w:t>
      </w:r>
      <w:r>
        <w:rPr>
          <w:rFonts w:hint="eastAsia" w:ascii="仿宋_GB2312" w:hAnsi="仿宋_GB2312" w:eastAsia="仿宋_GB2312" w:cs="仿宋_GB2312"/>
          <w:sz w:val="32"/>
          <w:szCs w:val="32"/>
        </w:rPr>
        <w:t>项目绩效自评综述：根据年初设定的绩效目标，民营经济培训费项目绩效自评得分为</w:t>
      </w:r>
      <w:r>
        <w:rPr>
          <w:rFonts w:hint="eastAsia" w:ascii="仿宋_GB2312" w:hAnsi="仿宋_GB2312" w:eastAsia="仿宋_GB2312" w:cs="仿宋_GB2312"/>
          <w:sz w:val="32"/>
          <w:szCs w:val="32"/>
          <w:lang w:val="en-US" w:eastAsia="zh-CN"/>
        </w:rPr>
        <w:t>99.1</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34.58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）王学义药费</w:t>
      </w:r>
      <w:r>
        <w:rPr>
          <w:rFonts w:hint="eastAsia" w:ascii="仿宋_GB2312" w:hAnsi="仿宋_GB2312" w:eastAsia="仿宋_GB2312" w:cs="仿宋_GB2312"/>
          <w:sz w:val="32"/>
          <w:szCs w:val="32"/>
        </w:rPr>
        <w:t>项目绩效自评综述：根据年初设定的绩效目标，王学义药费项目绩效自评得分为</w:t>
      </w:r>
      <w:r>
        <w:rPr>
          <w:rFonts w:hint="eastAsia" w:ascii="仿宋_GB2312" w:hAnsi="仿宋_GB2312" w:eastAsia="仿宋_GB2312" w:cs="仿宋_GB2312"/>
          <w:sz w:val="32"/>
          <w:szCs w:val="32"/>
          <w:lang w:val="en-US" w:eastAsia="zh-CN"/>
        </w:rPr>
        <w:t>94.8</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）县级公务网络日常租赁费</w:t>
      </w:r>
      <w:r>
        <w:rPr>
          <w:rFonts w:hint="eastAsia" w:ascii="仿宋_GB2312" w:hAnsi="仿宋_GB2312" w:eastAsia="仿宋_GB2312" w:cs="仿宋_GB2312"/>
          <w:sz w:val="32"/>
          <w:szCs w:val="32"/>
        </w:rPr>
        <w:t>项目绩效自评综述：根据年初设定的绩效目标，县级公务网络日常租赁费项目绩效自评得分为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2.88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）智慧城市二期建设项目规划设计费</w:t>
      </w:r>
      <w:r>
        <w:rPr>
          <w:rFonts w:hint="eastAsia" w:ascii="仿宋_GB2312" w:hAnsi="仿宋_GB2312" w:eastAsia="仿宋_GB2312" w:cs="仿宋_GB2312"/>
          <w:sz w:val="32"/>
          <w:szCs w:val="32"/>
        </w:rPr>
        <w:t>项目绩效自评综述：根据年初设定的绩效目标，智慧城市二期建设项目规划设计费项目绩效自评得分为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）香河公务网络平台至镇、园区社区链路费用</w:t>
      </w:r>
      <w:r>
        <w:rPr>
          <w:rFonts w:hint="eastAsia" w:ascii="仿宋_GB2312" w:hAnsi="仿宋_GB2312" w:eastAsia="仿宋_GB2312" w:cs="仿宋_GB2312"/>
          <w:sz w:val="32"/>
          <w:szCs w:val="32"/>
        </w:rPr>
        <w:t>项目绩效自评综述：根据年初设定的绩效目标，香河公务网络平台至镇、园区社区链路费用项目绩效自评得分为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18.67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18.67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各项绩效指标均已完成</w:t>
      </w:r>
      <w:r>
        <w:rPr>
          <w:rFonts w:hint="eastAsia" w:ascii="仿宋_GB2312" w:hAnsi="仿宋_GB2312" w:eastAsia="仿宋_GB2312" w:cs="仿宋_GB2312"/>
          <w:sz w:val="32"/>
          <w:szCs w:val="32"/>
        </w:rPr>
        <w:t>。</w:t>
      </w:r>
    </w:p>
    <w:p>
      <w:pPr>
        <w:adjustRightInd w:val="0"/>
        <w:snapToGrid w:val="0"/>
        <w:spacing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本部门无财政评价项目绩效评价结果。</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bookmarkStart w:id="0" w:name="_GoBack"/>
      <w:bookmarkEnd w:id="0"/>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170.44</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22.85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11.82</w:t>
      </w:r>
      <w:r>
        <w:rPr>
          <w:rFonts w:hint="eastAsia" w:ascii="仿宋_GB2312" w:hAnsi="Times New Roman" w:eastAsia="仿宋_GB2312" w:cs="DengXian-Regular"/>
          <w:sz w:val="32"/>
          <w:szCs w:val="32"/>
        </w:rPr>
        <w:t>%。主要原因是</w:t>
      </w:r>
      <w:r>
        <w:rPr>
          <w:rFonts w:hint="eastAsia" w:eastAsia="仿宋_GB2312"/>
          <w:sz w:val="32"/>
          <w:szCs w:val="32"/>
          <w:lang w:val="en-US" w:eastAsia="zh-CN"/>
        </w:rPr>
        <w:t>厉行节约减少支出</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178.31</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178.31</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230.06</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机构改革部门合并</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本部门2019年度政府性基金预算财政拨款</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国有资本经营预算财政拨款无收支及结转结余情况，故政府性基金预算财政拨款</w:t>
      </w:r>
      <w:r>
        <w:rPr>
          <w:rFonts w:hint="eastAsia" w:ascii="仿宋_GB2312" w:hAnsi="Times New Roman" w:eastAsia="仿宋_GB2312" w:cs="DengXian-Regular"/>
          <w:sz w:val="32"/>
          <w:szCs w:val="32"/>
          <w:lang w:eastAsia="zh-CN"/>
        </w:rPr>
        <w:t>收入支出决算表、</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eastAsia="zh-CN"/>
        </w:rPr>
        <w:t>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9" w:type="first"/>
          <w:footerReference r:id="rId21" w:type="first"/>
          <w:headerReference r:id="rId18" w:type="default"/>
          <w:footerReference r:id="rId20"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7155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7155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9"/>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2"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4"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7257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7257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29"/>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672" w:type="dxa"/>
        <w:jc w:val="center"/>
        <w:tblLayout w:type="fixed"/>
        <w:tblCellMar>
          <w:top w:w="0" w:type="dxa"/>
          <w:left w:w="0" w:type="dxa"/>
          <w:bottom w:w="0" w:type="dxa"/>
          <w:right w:w="0" w:type="dxa"/>
        </w:tblCellMar>
      </w:tblPr>
      <w:tblGrid>
        <w:gridCol w:w="3236"/>
        <w:gridCol w:w="406"/>
        <w:gridCol w:w="990"/>
        <w:gridCol w:w="3500"/>
        <w:gridCol w:w="541"/>
        <w:gridCol w:w="999"/>
      </w:tblGrid>
      <w:tr>
        <w:tblPrEx>
          <w:tblCellMar>
            <w:top w:w="0" w:type="dxa"/>
            <w:left w:w="0" w:type="dxa"/>
            <w:bottom w:w="0" w:type="dxa"/>
            <w:right w:w="0" w:type="dxa"/>
          </w:tblCellMar>
        </w:tblPrEx>
        <w:trPr>
          <w:trHeight w:val="489" w:hRule="atLeast"/>
          <w:jc w:val="center"/>
        </w:trPr>
        <w:tc>
          <w:tcPr>
            <w:tcW w:w="9672"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0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0" w:type="dxa"/>
            <w:bottom w:w="0" w:type="dxa"/>
            <w:right w:w="0" w:type="dxa"/>
          </w:tblCellMar>
        </w:tblPrEx>
        <w:trPr>
          <w:trHeight w:val="421" w:hRule="atLeast"/>
          <w:jc w:val="center"/>
        </w:trPr>
        <w:tc>
          <w:tcPr>
            <w:tcW w:w="463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504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84" w:hRule="atLeast"/>
          <w:jc w:val="center"/>
        </w:trPr>
        <w:tc>
          <w:tcPr>
            <w:tcW w:w="46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504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275"/>
                <w:tab w:val="right" w:pos="1001"/>
              </w:tabs>
              <w:jc w:val="center"/>
              <w:textAlignment w:val="center"/>
              <w:rPr>
                <w:rFonts w:ascii="宋体" w:hAnsi="宋体" w:eastAsia="宋体" w:cs="宋体"/>
                <w:color w:val="000000"/>
                <w:sz w:val="22"/>
              </w:rPr>
            </w:pPr>
            <w:r>
              <w:rPr>
                <w:rFonts w:hint="eastAsia" w:ascii="宋体" w:hAnsi="宋体" w:eastAsia="宋体" w:cs="宋体"/>
                <w:color w:val="000000"/>
                <w:kern w:val="0"/>
                <w:sz w:val="22"/>
                <w:lang w:eastAsia="zh-CN" w:bidi="ar"/>
              </w:rPr>
              <w:t>10886.41</w:t>
            </w: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1652.94</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1318.83</w:t>
            </w: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696.19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28.18</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9707.07</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9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49.80</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14.80</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480"/>
                <w:tab w:val="right" w:pos="1570"/>
              </w:tabs>
              <w:jc w:val="center"/>
              <w:textAlignment w:val="center"/>
              <w:rPr>
                <w:rFonts w:ascii="宋体" w:hAnsi="宋体" w:eastAsia="宋体" w:cs="宋体"/>
                <w:color w:val="000000"/>
                <w:sz w:val="22"/>
              </w:rPr>
            </w:pPr>
            <w:r>
              <w:rPr>
                <w:rFonts w:hint="eastAsia" w:ascii="宋体" w:hAnsi="宋体" w:eastAsia="宋体" w:cs="宋体"/>
                <w:color w:val="000000"/>
                <w:kern w:val="0"/>
                <w:sz w:val="22"/>
                <w:lang w:eastAsia="zh-CN" w:bidi="ar"/>
              </w:rPr>
              <w:t>12205.24</w:t>
            </w: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12150.02</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510"/>
                <w:tab w:val="right" w:pos="1300"/>
              </w:tabs>
              <w:jc w:val="center"/>
              <w:textAlignment w:val="center"/>
              <w:rPr>
                <w:rFonts w:ascii="宋体" w:hAnsi="宋体" w:eastAsia="宋体" w:cs="宋体"/>
                <w:color w:val="000000"/>
                <w:sz w:val="22"/>
              </w:rPr>
            </w:pPr>
            <w:r>
              <w:rPr>
                <w:rFonts w:hint="eastAsia" w:ascii="宋体" w:hAnsi="宋体" w:eastAsia="宋体" w:cs="宋体"/>
                <w:color w:val="000000"/>
                <w:kern w:val="0"/>
                <w:sz w:val="22"/>
                <w:lang w:eastAsia="zh-CN" w:bidi="ar"/>
              </w:rPr>
              <w:t>329.65</w:t>
            </w: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384.86</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225"/>
                <w:tab w:val="right" w:pos="1300"/>
              </w:tabs>
              <w:jc w:val="center"/>
              <w:textAlignment w:val="center"/>
              <w:rPr>
                <w:rFonts w:ascii="宋体" w:hAnsi="宋体" w:eastAsia="宋体" w:cs="宋体"/>
                <w:color w:val="000000"/>
                <w:sz w:val="22"/>
              </w:rPr>
            </w:pPr>
            <w:r>
              <w:rPr>
                <w:rFonts w:hint="eastAsia" w:ascii="宋体" w:hAnsi="宋体" w:eastAsia="宋体" w:cs="宋体"/>
                <w:color w:val="000000"/>
                <w:kern w:val="0"/>
                <w:sz w:val="22"/>
                <w:lang w:eastAsia="zh-CN" w:bidi="ar"/>
              </w:rPr>
              <w:t>12534.89</w:t>
            </w:r>
          </w:p>
        </w:tc>
        <w:tc>
          <w:tcPr>
            <w:tcW w:w="35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12534.89</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9672"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10084" w:type="dxa"/>
        <w:jc w:val="center"/>
        <w:tblLayout w:type="fixed"/>
        <w:tblCellMar>
          <w:top w:w="0" w:type="dxa"/>
          <w:left w:w="0" w:type="dxa"/>
          <w:bottom w:w="0" w:type="dxa"/>
          <w:right w:w="0" w:type="dxa"/>
        </w:tblCellMar>
      </w:tblPr>
      <w:tblGrid>
        <w:gridCol w:w="884"/>
        <w:gridCol w:w="3746"/>
        <w:gridCol w:w="1080"/>
        <w:gridCol w:w="1050"/>
        <w:gridCol w:w="555"/>
        <w:gridCol w:w="540"/>
        <w:gridCol w:w="510"/>
        <w:gridCol w:w="644"/>
        <w:gridCol w:w="1075"/>
      </w:tblGrid>
      <w:tr>
        <w:tblPrEx>
          <w:tblCellMar>
            <w:top w:w="0" w:type="dxa"/>
            <w:left w:w="0" w:type="dxa"/>
            <w:bottom w:w="0" w:type="dxa"/>
            <w:right w:w="0" w:type="dxa"/>
          </w:tblCellMar>
        </w:tblPrEx>
        <w:trPr>
          <w:trHeight w:val="670" w:hRule="atLeast"/>
          <w:jc w:val="center"/>
        </w:trPr>
        <w:tc>
          <w:tcPr>
            <w:tcW w:w="10084" w:type="dxa"/>
            <w:gridSpan w:val="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10084" w:type="dxa"/>
            <w:gridSpan w:val="9"/>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7855"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222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4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55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5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5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64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88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4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4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8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4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4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8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4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5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4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63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5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6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4630"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12205.24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10886.41</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0.00</w:t>
            </w: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0.00</w:t>
            </w: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0.00</w:t>
            </w: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0.00</w:t>
            </w: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1318.83</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20132</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组织事务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2013299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其他组织事务支出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其他共产党事务支出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科学技术支出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1671.56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375.56</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1296.00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科学技术管理事务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1555.72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259.72</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1296.00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2060101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1545.72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249.72</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1296.00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2060199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其他科学技术管理事务支出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20606</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社会科学</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2060601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社会科学研究机构</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其他科学技术支出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2069999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696.19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696.19</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662.99</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662.99</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63.38</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63.38</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599.61</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599.61</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抚恤</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28.18</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28.18</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28.18</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28.18</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26.26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26.26</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1.92</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1.92</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节能环保支出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10.65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1.05</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9.60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21103</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污染防治</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1.05</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2110301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大气</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1.05</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其他节能环保支出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9.60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9.60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2119901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其他节能环保支出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9.60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9.60</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资源勘探信息等支出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9725.06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9720.83</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4.23</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资源勘探开发</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2.40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2150101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2.40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工业和信息产业监管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2500.46</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2,496.23</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4.23</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818.38</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814.15</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4.23</w:t>
            </w: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2150502</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1430.40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1,430.40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2150510</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工业和信息产业支持</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94.93</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94.93</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2150511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电子专项工程</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156.75</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156.75</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7222.20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7,222.20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2150805</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中小企业发展专项</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1222.20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1,222.20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2150899</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6000.00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6,000.00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49.80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49.80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49.80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灾害防治及应急管理支出</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14.80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22401</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应急管理事务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14.80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2240106</w:t>
            </w:r>
          </w:p>
        </w:tc>
        <w:tc>
          <w:tcPr>
            <w:tcW w:w="37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安全监管</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14.80</w:t>
            </w:r>
          </w:p>
        </w:tc>
        <w:tc>
          <w:tcPr>
            <w:tcW w:w="10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5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084"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3653"/>
        <w:gridCol w:w="1005"/>
        <w:gridCol w:w="930"/>
        <w:gridCol w:w="1110"/>
        <w:gridCol w:w="525"/>
        <w:gridCol w:w="540"/>
        <w:gridCol w:w="812"/>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1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8328" w:type="dxa"/>
            <w:gridSpan w:val="8"/>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135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475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9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5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5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81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65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5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5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47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5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5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475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12150.06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1826.60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10323.43</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科学技术支出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1652.94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269.94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1383.00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科学技术管理事务</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1537.10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259.10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1278.00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2060101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1527.10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259.10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1268.00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2060199</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其他科学技术管理事务支出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20606</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社会科学</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2060601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社会科学研究机构</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20699</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其他科学技术支出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2069999</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696.19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696.19</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662.99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662.99</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63.38</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63.38</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599.61</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599.61</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抚恤</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28.18</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28.18</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2101199</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节能环保支出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21103</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污染防治</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2110301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大气</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kern w:val="2"/>
                <w:sz w:val="22"/>
                <w:szCs w:val="22"/>
                <w:lang w:val="en-US" w:eastAsia="zh-CN" w:bidi="ar-SA"/>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资源勘探信息等支出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9707.07</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784.41</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8922.66</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资源勘探开发</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2150101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工业和信息产业监管</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2494.69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782.34</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1712.35</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816.70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782.12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34.58</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8"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2150502</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1430.40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1430.40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2150510</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工业和信息产业支持</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95.15</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0.22</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94.93</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2150511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电子专项工程</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7212.31</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7210.31</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2150805</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中小企业发展专项</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1212.31</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1210.31</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2150899</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6000.00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6000.00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灾害防治及应急管理支出</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22401</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应急管理事务</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2240106</w:t>
            </w:r>
          </w:p>
        </w:tc>
        <w:tc>
          <w:tcPr>
            <w:tcW w:w="3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安全监管</w:t>
            </w:r>
          </w:p>
        </w:tc>
        <w:tc>
          <w:tcPr>
            <w:tcW w:w="10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5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10380" w:type="dxa"/>
        <w:jc w:val="center"/>
        <w:tblLayout w:type="fixed"/>
        <w:tblCellMar>
          <w:top w:w="0" w:type="dxa"/>
          <w:left w:w="0" w:type="dxa"/>
          <w:bottom w:w="0" w:type="dxa"/>
          <w:right w:w="0" w:type="dxa"/>
        </w:tblCellMar>
      </w:tblPr>
      <w:tblGrid>
        <w:gridCol w:w="2922"/>
        <w:gridCol w:w="425"/>
        <w:gridCol w:w="836"/>
        <w:gridCol w:w="2980"/>
        <w:gridCol w:w="495"/>
        <w:gridCol w:w="960"/>
        <w:gridCol w:w="945"/>
        <w:gridCol w:w="817"/>
      </w:tblGrid>
      <w:tr>
        <w:tblPrEx>
          <w:tblCellMar>
            <w:top w:w="0" w:type="dxa"/>
            <w:left w:w="0" w:type="dxa"/>
            <w:bottom w:w="0" w:type="dxa"/>
            <w:right w:w="0" w:type="dxa"/>
          </w:tblCellMar>
        </w:tblPrEx>
        <w:trPr>
          <w:trHeight w:val="406" w:hRule="atLeast"/>
          <w:jc w:val="center"/>
        </w:trPr>
        <w:tc>
          <w:tcPr>
            <w:tcW w:w="1038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72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765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272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18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6197"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9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6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8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6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10886.41</w:t>
            </w: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384.94</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384.94</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0"/>
                <w:szCs w:val="20"/>
                <w:lang w:bidi="ar"/>
              </w:rPr>
              <w:t>七、文化旅游体育与传媒支出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696.19</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696.19</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28.18</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28.18</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1.05</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1.05</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9704.73</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9704.73</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十八、自然资源海洋气象等支出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49.80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49.80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14.80</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14.80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10886.41</w:t>
            </w: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10879.68</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10879.68</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26.65</w:t>
            </w: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33.37</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33.37</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26.65</w:t>
            </w: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color w:val="000000"/>
                <w:sz w:val="20"/>
                <w:szCs w:val="20"/>
                <w:lang w:val="en-US" w:eastAsia="zh-CN"/>
              </w:rPr>
              <w:t>10913.06</w:t>
            </w:r>
          </w:p>
        </w:tc>
        <w:tc>
          <w:tcPr>
            <w:tcW w:w="29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4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10913.06</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10913.06</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038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Layout w:type="fixed"/>
        <w:tblCellMar>
          <w:top w:w="0" w:type="dxa"/>
          <w:left w:w="0" w:type="dxa"/>
          <w:bottom w:w="0" w:type="dxa"/>
          <w:right w:w="0" w:type="dxa"/>
        </w:tblCellMar>
      </w:tblPr>
      <w:tblGrid>
        <w:gridCol w:w="1370"/>
        <w:gridCol w:w="3948"/>
        <w:gridCol w:w="1770"/>
        <w:gridCol w:w="1335"/>
        <w:gridCol w:w="1567"/>
      </w:tblGrid>
      <w:tr>
        <w:tblPrEx>
          <w:tblCellMar>
            <w:top w:w="0" w:type="dxa"/>
            <w:left w:w="0" w:type="dxa"/>
            <w:bottom w:w="0" w:type="dxa"/>
            <w:right w:w="0" w:type="dxa"/>
          </w:tblCellMar>
        </w:tblPrEx>
        <w:trPr>
          <w:trHeight w:val="600" w:hRule="atLeast"/>
          <w:jc w:val="center"/>
        </w:trPr>
        <w:tc>
          <w:tcPr>
            <w:tcW w:w="9990"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9990"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708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290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87" w:hRule="atLeast"/>
          <w:jc w:val="center"/>
        </w:trPr>
        <w:tc>
          <w:tcPr>
            <w:tcW w:w="531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467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9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7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3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5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7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31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31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10879.68</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1824.25</w:t>
            </w: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9055.43</w:t>
            </w:r>
          </w:p>
        </w:tc>
      </w:tr>
      <w:tr>
        <w:tblPrEx>
          <w:tblCellMar>
            <w:top w:w="0" w:type="dxa"/>
            <w:left w:w="0" w:type="dxa"/>
            <w:bottom w:w="0" w:type="dxa"/>
            <w:right w:w="0" w:type="dxa"/>
          </w:tblCellMar>
        </w:tblPrEx>
        <w:trPr>
          <w:trHeight w:val="308" w:hRule="atLeast"/>
          <w:jc w:val="center"/>
        </w:trPr>
        <w:tc>
          <w:tcPr>
            <w:tcW w:w="13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206</w:t>
            </w:r>
          </w:p>
        </w:tc>
        <w:tc>
          <w:tcPr>
            <w:tcW w:w="3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科学技术支出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eastAsia="zh-CN"/>
              </w:rPr>
              <w:tab/>
            </w:r>
            <w:r>
              <w:rPr>
                <w:rFonts w:hint="eastAsia" w:ascii="宋体" w:hAnsi="宋体" w:eastAsia="宋体" w:cs="宋体"/>
                <w:color w:val="000000"/>
                <w:sz w:val="22"/>
                <w:lang w:val="en-US" w:eastAsia="zh-CN"/>
              </w:rPr>
              <w:t>384.94</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269.94</w:t>
            </w: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115</w:t>
            </w:r>
          </w:p>
        </w:tc>
      </w:tr>
      <w:tr>
        <w:tblPrEx>
          <w:tblCellMar>
            <w:top w:w="0" w:type="dxa"/>
            <w:left w:w="0" w:type="dxa"/>
            <w:bottom w:w="0" w:type="dxa"/>
            <w:right w:w="0" w:type="dxa"/>
          </w:tblCellMar>
        </w:tblPrEx>
        <w:trPr>
          <w:trHeight w:val="308" w:hRule="atLeast"/>
          <w:jc w:val="center"/>
        </w:trPr>
        <w:tc>
          <w:tcPr>
            <w:tcW w:w="13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20601</w:t>
            </w:r>
          </w:p>
        </w:tc>
        <w:tc>
          <w:tcPr>
            <w:tcW w:w="3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科学技术管理事务</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269.10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259.10</w:t>
            </w: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jc w:val="center"/>
        </w:trPr>
        <w:tc>
          <w:tcPr>
            <w:tcW w:w="13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2060101</w:t>
            </w:r>
          </w:p>
        </w:tc>
        <w:tc>
          <w:tcPr>
            <w:tcW w:w="3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  行政运行</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259.10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259.10</w:t>
            </w: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57" w:hRule="atLeast"/>
          <w:jc w:val="center"/>
        </w:trPr>
        <w:tc>
          <w:tcPr>
            <w:tcW w:w="13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2060199</w:t>
            </w:r>
          </w:p>
        </w:tc>
        <w:tc>
          <w:tcPr>
            <w:tcW w:w="3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其他科学技术管理事务支出</w:t>
            </w:r>
          </w:p>
        </w:tc>
        <w:tc>
          <w:tcPr>
            <w:tcW w:w="17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10.00</w:t>
            </w:r>
          </w:p>
        </w:tc>
        <w:tc>
          <w:tcPr>
            <w:tcW w:w="13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jc w:val="center"/>
        </w:trPr>
        <w:tc>
          <w:tcPr>
            <w:tcW w:w="1370"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20606</w:t>
            </w:r>
          </w:p>
        </w:tc>
        <w:tc>
          <w:tcPr>
            <w:tcW w:w="394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社会科学</w:t>
            </w:r>
          </w:p>
        </w:tc>
        <w:tc>
          <w:tcPr>
            <w:tcW w:w="177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33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567"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2060601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社会科学研究机构</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10.84</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20699</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其他科学技术支出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2069999</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105.00</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696.19</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696.19</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662.99</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662.99</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63.38</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63.38</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599.61</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599.61</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抚恤</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2080801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33.20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28.18</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28.18</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26.26</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2101199</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节能环保支出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21103</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污染防治</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2110301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大气</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1.05</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资源勘探信息等支出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9704.73</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782.07</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8922.66</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资源勘探开发</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2150101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0.07</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工业和信息产业监管</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2492.35</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780.00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1712.35</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814.36</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779.78</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34.58</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2150502</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1430.40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1430.40</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2150510</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工业和信息产业支持</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95.15</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0.22</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94.93</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2150511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电子专项工程</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152.44</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支持中小企业发展和管理支出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7212.31</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7210.31</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2150805</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中小企业发展专项</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1212.31</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1210.31</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2150899</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其他支持中小企业发展和管理支出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6000.00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6000.00</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49.80</w:t>
            </w: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灾害防治及应急管理支出</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22401</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应急管理事务</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r>
      <w:tr>
        <w:tblPrEx>
          <w:tblCellMar>
            <w:top w:w="0" w:type="dxa"/>
            <w:left w:w="0" w:type="dxa"/>
            <w:bottom w:w="0" w:type="dxa"/>
            <w:right w:w="0" w:type="dxa"/>
          </w:tblCellMar>
        </w:tblPrEx>
        <w:trPr>
          <w:trHeight w:val="308" w:hRule="atLeast"/>
          <w:jc w:val="center"/>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2240106</w:t>
            </w:r>
          </w:p>
        </w:tc>
        <w:tc>
          <w:tcPr>
            <w:tcW w:w="394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安全监管</w:t>
            </w:r>
          </w:p>
        </w:tc>
        <w:tc>
          <w:tcPr>
            <w:tcW w:w="17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c>
          <w:tcPr>
            <w:tcW w:w="13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1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14.80</w:t>
            </w:r>
          </w:p>
        </w:tc>
      </w:tr>
    </w:tbl>
    <w:p>
      <w:r>
        <w:br w:type="page"/>
      </w:r>
    </w:p>
    <w:tbl>
      <w:tblPr>
        <w:tblStyle w:val="6"/>
        <w:tblW w:w="10000" w:type="dxa"/>
        <w:jc w:val="center"/>
        <w:tblLayout w:type="fixed"/>
        <w:tblCellMar>
          <w:top w:w="0" w:type="dxa"/>
          <w:left w:w="0" w:type="dxa"/>
          <w:bottom w:w="0" w:type="dxa"/>
          <w:right w:w="0" w:type="dxa"/>
        </w:tblCellMar>
      </w:tblPr>
      <w:tblGrid>
        <w:gridCol w:w="896"/>
        <w:gridCol w:w="1832"/>
        <w:gridCol w:w="8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7377" w:type="dxa"/>
            <w:gridSpan w:val="7"/>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970.1</w:t>
            </w:r>
            <w:r>
              <w:rPr>
                <w:rFonts w:hint="eastAsia" w:ascii="宋体" w:hAnsi="宋体" w:eastAsia="宋体" w:cs="宋体"/>
                <w:color w:val="000000"/>
                <w:sz w:val="20"/>
                <w:szCs w:val="20"/>
                <w:lang w:val="en-US" w:eastAsia="zh-CN"/>
              </w:rPr>
              <w:t>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170.44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239.29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17.14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298.14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178.13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15.56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81.97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34.78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36.21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9.63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56.67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61.83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683.71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8.65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611.82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35.50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18.19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24.21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0.11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11.40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9.44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33.48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11.69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20"/>
                <w:szCs w:val="20"/>
              </w:rPr>
            </w:pPr>
            <w:r>
              <w:rPr>
                <w:rFonts w:hint="eastAsia" w:ascii="宋体" w:hAnsi="宋体" w:eastAsia="宋体" w:cs="宋体"/>
                <w:color w:val="000000"/>
                <w:sz w:val="20"/>
                <w:szCs w:val="20"/>
              </w:rPr>
              <w:t>1653.81</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170.44</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764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5.80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5.70</w:t>
            </w: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0.10</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2.18</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2.18</w:t>
            </w: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149"/>
        <w:gridCol w:w="1489"/>
        <w:gridCol w:w="1145"/>
        <w:gridCol w:w="1145"/>
        <w:gridCol w:w="1145"/>
        <w:gridCol w:w="1145"/>
        <w:gridCol w:w="1145"/>
        <w:gridCol w:w="1147"/>
      </w:tblGrid>
      <w:tr>
        <w:tblPrEx>
          <w:tblCellMar>
            <w:top w:w="0" w:type="dxa"/>
            <w:left w:w="0" w:type="dxa"/>
            <w:bottom w:w="0" w:type="dxa"/>
            <w:right w:w="0" w:type="dxa"/>
          </w:tblCellMar>
        </w:tblPrEx>
        <w:trPr>
          <w:trHeight w:val="780" w:hRule="atLeast"/>
          <w:jc w:val="center"/>
        </w:trPr>
        <w:tc>
          <w:tcPr>
            <w:tcW w:w="951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9510" w:type="dxa"/>
            <w:gridSpan w:val="8"/>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7218"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229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63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4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4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48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4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4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3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263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4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4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4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4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4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lang w:bidi="ar"/>
        </w:rPr>
        <w:t>注：本表反映部门本年度政府性基金预算财政拨款收入、支出及结转和结余情况。本部门本年度无收支及结转结余情况，按要求以空表列示。</w:t>
      </w:r>
      <w:r>
        <w:br w:type="page"/>
      </w:r>
    </w:p>
    <w:tbl>
      <w:tblPr>
        <w:tblStyle w:val="6"/>
        <w:tblW w:w="9915" w:type="dxa"/>
        <w:jc w:val="center"/>
        <w:tblLayout w:type="autofit"/>
        <w:tblCellMar>
          <w:top w:w="0" w:type="dxa"/>
          <w:left w:w="0" w:type="dxa"/>
          <w:bottom w:w="0" w:type="dxa"/>
          <w:right w:w="0" w:type="dxa"/>
        </w:tblCellMar>
      </w:tblPr>
      <w:tblGrid>
        <w:gridCol w:w="1303"/>
        <w:gridCol w:w="4429"/>
        <w:gridCol w:w="1127"/>
        <w:gridCol w:w="1528"/>
        <w:gridCol w:w="1528"/>
      </w:tblGrid>
      <w:tr>
        <w:tblPrEx>
          <w:tblCellMar>
            <w:top w:w="0" w:type="dxa"/>
            <w:left w:w="0" w:type="dxa"/>
            <w:bottom w:w="0" w:type="dxa"/>
            <w:right w:w="0" w:type="dxa"/>
          </w:tblCellMar>
        </w:tblPrEx>
        <w:trPr>
          <w:trHeight w:val="840" w:hRule="atLeast"/>
          <w:jc w:val="center"/>
        </w:trPr>
        <w:tc>
          <w:tcPr>
            <w:tcW w:w="9915"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9915" w:type="dxa"/>
            <w:gridSpan w:val="5"/>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6540"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部门：廊坊市香河县工业和信息化局（本级）</w:t>
            </w: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30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lang w:bidi="ar"/>
        </w:rPr>
        <w:t>注：本表反映部门本年度国有资本经营预算财政拨款支出情况。本部门本年度无相关支出情况，按要求以空表列示。</w:t>
      </w:r>
      <w:r>
        <w:rPr>
          <w:rFonts w:hint="eastAsia" w:ascii="宋体" w:hAnsi="宋体" w:eastAsia="宋体" w:cs="宋体"/>
          <w:sz w:val="20"/>
          <w:szCs w:val="20"/>
        </w:rPr>
        <w:br w:type="page"/>
      </w:r>
    </w:p>
    <w:p>
      <w:r>
        <mc:AlternateContent>
          <mc:Choice Requires="wps">
            <w:drawing>
              <wp:anchor distT="0" distB="0" distL="114300" distR="114300" simplePos="0" relativeHeight="25167360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360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6" w:type="first"/>
      <w:headerReference r:id="rId25" w:type="default"/>
      <w:footerReference r:id="rId27"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T Extra">
    <w:panose1 w:val="05050102010205020202"/>
    <w:charset w:val="02"/>
    <w:family w:val="roman"/>
    <w:pitch w:val="default"/>
    <w:sig w:usb0="8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hakuyoxingshu7000">
    <w:altName w:val="宋体"/>
    <w:panose1 w:val="02000600000000000000"/>
    <w:charset w:val="86"/>
    <w:family w:val="auto"/>
    <w:pitch w:val="default"/>
    <w:sig w:usb0="00000000" w:usb1="00000000" w:usb2="0000003F" w:usb3="00000000" w:csb0="003F00F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896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896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28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828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38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38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48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48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58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58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974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8720"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872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92032"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92032;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9305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998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998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9100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69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69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79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79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807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17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817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564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7564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462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462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6672;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7696"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7696;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96DF2"/>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A431682"/>
    <w:rsid w:val="0B011416"/>
    <w:rsid w:val="0D222F78"/>
    <w:rsid w:val="0D2322B6"/>
    <w:rsid w:val="15103475"/>
    <w:rsid w:val="1BE773C9"/>
    <w:rsid w:val="205E099F"/>
    <w:rsid w:val="21DC6996"/>
    <w:rsid w:val="21EF201C"/>
    <w:rsid w:val="265B758C"/>
    <w:rsid w:val="28635FC7"/>
    <w:rsid w:val="2BB46128"/>
    <w:rsid w:val="2E0F5493"/>
    <w:rsid w:val="309D29E0"/>
    <w:rsid w:val="31C2036A"/>
    <w:rsid w:val="320D02A5"/>
    <w:rsid w:val="348E566F"/>
    <w:rsid w:val="397E27BC"/>
    <w:rsid w:val="3A226944"/>
    <w:rsid w:val="3AEE6A48"/>
    <w:rsid w:val="3C1620AA"/>
    <w:rsid w:val="3D8F080F"/>
    <w:rsid w:val="3EC972BA"/>
    <w:rsid w:val="42B611B3"/>
    <w:rsid w:val="44CE1FA4"/>
    <w:rsid w:val="487F73ED"/>
    <w:rsid w:val="4A347EAE"/>
    <w:rsid w:val="4C1B6B95"/>
    <w:rsid w:val="52214658"/>
    <w:rsid w:val="52600405"/>
    <w:rsid w:val="529B4319"/>
    <w:rsid w:val="5319298B"/>
    <w:rsid w:val="54F53357"/>
    <w:rsid w:val="560D0304"/>
    <w:rsid w:val="57260727"/>
    <w:rsid w:val="57773DD6"/>
    <w:rsid w:val="578B79AB"/>
    <w:rsid w:val="58736CCD"/>
    <w:rsid w:val="5CCD3FD5"/>
    <w:rsid w:val="61FA5F9D"/>
    <w:rsid w:val="63C626E7"/>
    <w:rsid w:val="6487548C"/>
    <w:rsid w:val="64CD6910"/>
    <w:rsid w:val="67366CE4"/>
    <w:rsid w:val="6789158D"/>
    <w:rsid w:val="67D81BA4"/>
    <w:rsid w:val="6AAF1C96"/>
    <w:rsid w:val="722F17A9"/>
    <w:rsid w:val="74514CF9"/>
    <w:rsid w:val="75681757"/>
    <w:rsid w:val="75A346A8"/>
    <w:rsid w:val="761A08E1"/>
    <w:rsid w:val="77196121"/>
    <w:rsid w:val="79B9382C"/>
    <w:rsid w:val="7B043B76"/>
    <w:rsid w:val="7BE12985"/>
    <w:rsid w:val="7C041A6A"/>
    <w:rsid w:val="7CC35163"/>
    <w:rsid w:val="7D254670"/>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T Extra" w:hAnsi="MT Extra" w:eastAsia="宋体" w:cs="MT Extr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bmp"/><Relationship Id="rId28" Type="http://schemas.openxmlformats.org/officeDocument/2006/relationships/theme" Target="theme/theme1.xml"/><Relationship Id="rId27" Type="http://schemas.openxmlformats.org/officeDocument/2006/relationships/footer" Target="footer10.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19</TotalTime>
  <ScaleCrop>false</ScaleCrop>
  <LinksUpToDate>false</LinksUpToDate>
  <CharactersWithSpaces>11119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上官亦琪</cp:lastModifiedBy>
  <cp:lastPrinted>2020-07-30T02:37:00Z</cp:lastPrinted>
  <dcterms:modified xsi:type="dcterms:W3CDTF">2021-05-27T06:53:49Z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005027E7A09B4493B88859BECA9AF457</vt:lpwstr>
  </property>
</Properties>
</file>